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7AC" w:rsidRDefault="006C27AC" w:rsidP="006C27AC">
      <w:pPr>
        <w:jc w:val="both"/>
      </w:pPr>
      <w:bookmarkStart w:id="0" w:name="_GoBack"/>
      <w:r>
        <w:t>Raport bieżący nr</w:t>
      </w:r>
      <w:r>
        <w:tab/>
        <w:t>60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C27AC" w:rsidRDefault="006C27AC" w:rsidP="006C27AC">
      <w:pPr>
        <w:jc w:val="both"/>
      </w:pPr>
      <w:r>
        <w:t>Data sporządzenia:</w:t>
      </w:r>
      <w:r>
        <w:tab/>
        <w:t>2017-10-19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27AC" w:rsidRDefault="006C27AC" w:rsidP="006C27AC">
      <w:pPr>
        <w:jc w:val="both"/>
      </w:pPr>
      <w:r>
        <w:t>BIOMED-LUBLIN WYTWÓRNIA SUROWIC I SZCZEPIONEK SA</w:t>
      </w:r>
      <w:r>
        <w:tab/>
      </w:r>
    </w:p>
    <w:p w:rsidR="006C27AC" w:rsidRDefault="006C27AC" w:rsidP="006C27AC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27AC" w:rsidRDefault="006C27AC" w:rsidP="006C27AC">
      <w:pPr>
        <w:jc w:val="both"/>
      </w:pPr>
      <w:r>
        <w:t>Zmiany hipotek ustanowionych na nieruchomościach BIOMED-LUBLIN</w:t>
      </w:r>
      <w:r>
        <w:tab/>
      </w:r>
    </w:p>
    <w:p w:rsidR="006C27AC" w:rsidRDefault="006C27AC" w:rsidP="006C27AC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27AC" w:rsidRDefault="006C27AC" w:rsidP="006C27AC">
      <w:pPr>
        <w:jc w:val="both"/>
      </w:pPr>
      <w:r>
        <w:t>Art. 17 ust. 1 MAR - informacje poufne.</w:t>
      </w:r>
      <w:r>
        <w:tab/>
      </w:r>
    </w:p>
    <w:p w:rsidR="006C27AC" w:rsidRDefault="006C27AC" w:rsidP="006C27AC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27AC" w:rsidRDefault="006C27AC" w:rsidP="006C27AC">
      <w:pPr>
        <w:jc w:val="both"/>
      </w:pPr>
      <w:r>
        <w:t>„BIOMED-LUBLIN” Wytwórnia Surowic i Szczepionek SA („Spółka”, „Emitent”, „BIOMED-LUBLIN”) działając na podstawie art. 17 ust. 4 Rozporządzenia Parlamentu Europejskiego i Rady (UE) nr 596/2014 z dnia 16 kwietnia 2014 r. w sprawie nadużyć na rynku (rozporządzenie w sprawie nadużyć na rynku) oraz uchylającego dyrektywę 2003/6/WE Parlamentu Europejskiego i Rady i dyrektywy Komisji 2003/124/WE, 2003/125/WE i 2004/72/WE (Rozporządzenie MAR ) informuje o powzięciu w dniu 19 października 2017 r. wiadomości o dokonaniu przez Sąd Rejonowy Lublin-Zachód w Lublinie X Wydział Ksiąg Wieczystych zmiany wpisu hipoteki umownej łącznej ustanowionej na rzecz Banku Millennium SA z siedzibą w Warszawie wpisanej do KW: LU1I/00167907/4 ; LU1I/00108745/9 ; LU1I/00109349/0 na zabezpieczenie wierzytelności tego banku polegającej na obniżeniu dotychczasowej sumy hipoteki w wysokości 46.155.000,00 PLN (słownie złotych czterdzieści sześć milionów sto pięćdziesiąt pięć tysięcy 00/100) do kwoty 24.500.000,00 PLN (słownie złotych dwadzieścia cztery miliony pięćset tysięcy 00/100), wobec faktu częściowej spłaty zadłużenia przez Emitenta.</w:t>
      </w:r>
    </w:p>
    <w:p w:rsidR="006C27AC" w:rsidRDefault="006C27AC" w:rsidP="006C27AC">
      <w:pPr>
        <w:jc w:val="both"/>
      </w:pPr>
      <w:r>
        <w:t>Ponadto, Sąd Rejonowy Lublin-Zachód w Lublinie X Wydział Ksiąg Wieczystych dokonał na wniosek Emitenta wpisu hipoteki umownej na przysługującym BIOMED-LUBLIN prawie użytkowania wieczystego nieruchomości położonej w Lublinie, przy ul. Główna 34, 34 C, 34 D, 34 E, 34 F oraz przysługującym Spółce prawie własności budynków położonych na tej nieruchomości (nr KW LU1I/00108745/9) na rzecz Polskiej Agencji Wspierania Przedsiębiorczości z siedzibą w Warszawie (wpis na 2 miejscu) w kwocie 33.000.000 zł na zabezpieczenie spłaty wierzytelności układowej PARP wynikającej z zawartego układu z dnia 10 czerwca 2016 roku, na którą składają się: wierzytelność główna i pozostające do spłaty odsetki naliczone od dnia wymagalności wierzytelności głównej do dnia otwarcia postępowania restrukturyzacyjnego objętej porozumieniem z dnia 21 września 2017 roku wraz z wszystkimi należnościami ubocznymi wynikającymi z tego porozumienia. O zawarciu porozumienia z PARP emitent informował raportem bieżącym nr 52/2017.</w:t>
      </w:r>
    </w:p>
    <w:p w:rsidR="006C27AC" w:rsidRDefault="006C27AC" w:rsidP="006C27AC">
      <w:pPr>
        <w:jc w:val="both"/>
      </w:pPr>
      <w:r>
        <w:t>Podstawa prawna - art. 17 ust. 1 Rozporządzenia Parlamentu Europejskiego i Rady (UE) nr 596/2014 (MAR).</w:t>
      </w:r>
    </w:p>
    <w:p w:rsidR="006C27AC" w:rsidRDefault="006C27AC" w:rsidP="006C27AC">
      <w:pPr>
        <w:jc w:val="both"/>
      </w:pPr>
    </w:p>
    <w:p w:rsidR="006C27AC" w:rsidRDefault="006C27AC" w:rsidP="006C27AC">
      <w:pPr>
        <w:jc w:val="both"/>
      </w:pPr>
      <w:r>
        <w:t>2017-10-19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6C27AC" w:rsidRDefault="006C27AC" w:rsidP="006C27AC">
      <w:pPr>
        <w:jc w:val="both"/>
      </w:pPr>
      <w:r>
        <w:t>2017-10-19</w:t>
      </w:r>
      <w:r>
        <w:tab/>
        <w:t>Grzegorz Stefański</w:t>
      </w:r>
      <w:r>
        <w:tab/>
        <w:t>Członek Zarządu</w:t>
      </w:r>
      <w:bookmarkEnd w:id="0"/>
    </w:p>
    <w:sectPr w:rsidR="009A76AB" w:rsidRPr="006C2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6C27AC"/>
    <w:rsid w:val="008072B4"/>
    <w:rsid w:val="00987588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2018-03-21T18:19:00Z</dcterms:created>
  <dcterms:modified xsi:type="dcterms:W3CDTF">2018-03-21T18:19:00Z</dcterms:modified>
</cp:coreProperties>
</file>