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B8D" w:rsidRDefault="00DF2B8D" w:rsidP="00DF2B8D">
      <w:pPr>
        <w:jc w:val="both"/>
      </w:pPr>
      <w:bookmarkStart w:id="0" w:name="_GoBack"/>
      <w:bookmarkEnd w:id="0"/>
      <w:r>
        <w:t>Raport bieżący nr</w:t>
      </w:r>
      <w:r>
        <w:tab/>
        <w:t>18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F2B8D" w:rsidRDefault="00DF2B8D" w:rsidP="00DF2B8D">
      <w:pPr>
        <w:jc w:val="both"/>
      </w:pPr>
      <w:r>
        <w:t>Data sporządzenia:</w:t>
      </w:r>
      <w:r>
        <w:tab/>
        <w:t>2017-04-04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2B8D" w:rsidRDefault="00DF2B8D" w:rsidP="00DF2B8D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2B8D" w:rsidRDefault="00DF2B8D" w:rsidP="00DF2B8D">
      <w:pPr>
        <w:jc w:val="both"/>
      </w:pPr>
      <w:r>
        <w:t>Uchwała w sprawie sprzedaży nieruchomości wchodzącej w skład nieoperacyjnego majątku trwałego</w:t>
      </w:r>
      <w:r>
        <w:tab/>
      </w:r>
    </w:p>
    <w:p w:rsidR="00DF2B8D" w:rsidRDefault="00DF2B8D" w:rsidP="00DF2B8D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2B8D" w:rsidRDefault="00DF2B8D" w:rsidP="00DF2B8D">
      <w:pPr>
        <w:jc w:val="both"/>
      </w:pPr>
      <w:r>
        <w:t>Art. 17 ust. 1 MAR - informacje poufne.</w:t>
      </w:r>
      <w:r>
        <w:tab/>
      </w:r>
    </w:p>
    <w:p w:rsidR="00DF2B8D" w:rsidRDefault="00DF2B8D" w:rsidP="00DF2B8D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2B8D" w:rsidRDefault="00DF2B8D" w:rsidP="00DF2B8D">
      <w:pPr>
        <w:jc w:val="both"/>
      </w:pPr>
      <w:r>
        <w:t xml:space="preserve">Zarząd „BIOMED-LUBLIN” Wytwórnia Surowic i Szczepionek S.A. („Spółka”, „Emitent”) informuje, iż w dniu 4 kwietnia 2017 Rada Nadzorcza Spółki – stosownie do par. 23 ust 3 pkt 11 Statutu Spółki - podjęła uchwałę w sprawie wyrażenia zgody na sprzedaż nieruchomości należącej do Spółki w postaci lokalu biurowego przy ul. Skłodowskiej 36 w Lublinie („Nieruchomość”). </w:t>
      </w:r>
    </w:p>
    <w:p w:rsidR="00DF2B8D" w:rsidRDefault="00DF2B8D" w:rsidP="00DF2B8D">
      <w:pPr>
        <w:jc w:val="both"/>
      </w:pPr>
    </w:p>
    <w:p w:rsidR="00DF2B8D" w:rsidRDefault="00DF2B8D" w:rsidP="00DF2B8D">
      <w:pPr>
        <w:jc w:val="both"/>
      </w:pPr>
      <w:r>
        <w:t xml:space="preserve">Nieruchomość nie jest wykorzystywana w procesie produkcyjnym i stanowi element majątku trwałego przewidzianego w planie restrukturyzacyjnym do sprzedaży, jako zbędnego spółce. Uchwała została podjęta w związku z pozyskaniem oferty od nabywcy gotowego zapłacić za Nieruchomość 1 mln zł brutto, tj. kwotę rynkową ustaloną przez biegłego rzeczoznawcę majątkowego. </w:t>
      </w:r>
    </w:p>
    <w:p w:rsidR="00DF2B8D" w:rsidRDefault="00DF2B8D" w:rsidP="00DF2B8D">
      <w:pPr>
        <w:jc w:val="both"/>
      </w:pPr>
    </w:p>
    <w:p w:rsidR="00DF2B8D" w:rsidRDefault="00DF2B8D" w:rsidP="00DF2B8D">
      <w:pPr>
        <w:jc w:val="both"/>
      </w:pPr>
      <w:r>
        <w:t>Rada Nadzorcza zobowiązała i upoważniła zarząd do przeprowadzenia transakcji sprzedaży Nieruchomości.</w:t>
      </w:r>
    </w:p>
    <w:p w:rsidR="00DF2B8D" w:rsidRDefault="00DF2B8D" w:rsidP="00DF2B8D">
      <w:pPr>
        <w:jc w:val="both"/>
      </w:pPr>
    </w:p>
    <w:p w:rsidR="00DF2B8D" w:rsidRDefault="00DF2B8D" w:rsidP="00DF2B8D">
      <w:pPr>
        <w:jc w:val="both"/>
      </w:pPr>
      <w:r>
        <w:t>Sprzedaż Nieruchomości wzmocni pozycję płynnościową Spółki, poprawi jej strukturę bilansową i zapewni środki na spłatę zobowiązań Spółki wobec Banku Millennium SA. Jednocześnie, sprzedaż Nieruchomości w żaden sposób nie wpłynie negatywnie na potencjał wytwórczy Spółki. Nieruchomość była przedmiotem zabezpieczenia na rzecz Banku Millennium SA, który wyraził zgodę na jego redukcję, co umożliwia przeprowadzenie transakcji sprzedaży.</w:t>
      </w:r>
    </w:p>
    <w:p w:rsidR="00DF2B8D" w:rsidRDefault="00DF2B8D" w:rsidP="00DF2B8D">
      <w:pPr>
        <w:jc w:val="both"/>
      </w:pPr>
    </w:p>
    <w:p w:rsidR="00DF2B8D" w:rsidRDefault="00DF2B8D" w:rsidP="00DF2B8D">
      <w:pPr>
        <w:jc w:val="both"/>
      </w:pPr>
      <w:r>
        <w:t>Zarząd przewiduje, że zawarcie przedwstępnej umowy sprzedaży Nieruchomości nastąpi w kwietniu, zaś przyrzeczonej umowy sprzedaży Nieruchomości w maju bieżącego roku.</w:t>
      </w:r>
    </w:p>
    <w:p w:rsidR="00DF2B8D" w:rsidRDefault="00DF2B8D" w:rsidP="00DF2B8D">
      <w:pPr>
        <w:jc w:val="both"/>
      </w:pPr>
    </w:p>
    <w:p w:rsidR="00DF2B8D" w:rsidRDefault="00DF2B8D" w:rsidP="00DF2B8D">
      <w:pPr>
        <w:jc w:val="both"/>
      </w:pPr>
      <w:r>
        <w:t>Podstawa prawna - art. 17 ust. 1 Rozporządzenia Parlamentu Europejskiego i Rady (UE) nr 596/2014 (MAR).</w:t>
      </w:r>
    </w:p>
    <w:p w:rsidR="00DF2B8D" w:rsidRDefault="00DF2B8D" w:rsidP="00DF2B8D">
      <w:pPr>
        <w:jc w:val="both"/>
        <w:rPr>
          <w:lang w:val="en-US"/>
        </w:rPr>
      </w:pPr>
    </w:p>
    <w:p w:rsidR="00DF2B8D" w:rsidRDefault="00DF2B8D" w:rsidP="00DF2B8D">
      <w:pPr>
        <w:jc w:val="both"/>
      </w:pPr>
      <w:r>
        <w:t>2017-04-04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DF2B8D" w:rsidRDefault="00DF2B8D" w:rsidP="00DF2B8D">
      <w:pPr>
        <w:jc w:val="both"/>
      </w:pPr>
      <w:r>
        <w:t>2017-04-04</w:t>
      </w:r>
      <w:r>
        <w:tab/>
        <w:t>Adam Siwek</w:t>
      </w:r>
      <w:r>
        <w:tab/>
        <w:t>Członek Zarządu</w:t>
      </w:r>
    </w:p>
    <w:sectPr w:rsidR="009A76AB" w:rsidRPr="00DF2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C27AC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2018-03-21T20:05:00Z</dcterms:created>
  <dcterms:modified xsi:type="dcterms:W3CDTF">2018-03-21T20:05:00Z</dcterms:modified>
</cp:coreProperties>
</file>