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574E" w:rsidRDefault="0061574E" w:rsidP="0061574E">
      <w:pPr>
        <w:jc w:val="both"/>
      </w:pPr>
      <w:bookmarkStart w:id="0" w:name="_GoBack"/>
      <w:bookmarkEnd w:id="0"/>
      <w:r>
        <w:tab/>
      </w:r>
    </w:p>
    <w:p w:rsidR="0061574E" w:rsidRDefault="0061574E" w:rsidP="0061574E">
      <w:pPr>
        <w:jc w:val="both"/>
      </w:pPr>
      <w:r>
        <w:t>Raport bieżący nr</w:t>
      </w:r>
      <w:r>
        <w:tab/>
        <w:t>10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61574E" w:rsidRDefault="0061574E" w:rsidP="0061574E">
      <w:pPr>
        <w:jc w:val="both"/>
      </w:pPr>
      <w:r>
        <w:t>Data sporządzenia:</w:t>
      </w:r>
      <w:r>
        <w:tab/>
        <w:t>2017-03-23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1574E" w:rsidRDefault="0061574E" w:rsidP="0061574E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1574E" w:rsidRDefault="0061574E" w:rsidP="0061574E">
      <w:pPr>
        <w:jc w:val="both"/>
      </w:pPr>
      <w:r>
        <w:t>Zawarcie przez Emitenta aneksu do istotnej umowy kredytowej</w:t>
      </w:r>
      <w:r>
        <w:tab/>
      </w:r>
    </w:p>
    <w:p w:rsidR="0061574E" w:rsidRDefault="0061574E" w:rsidP="0061574E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1574E" w:rsidRDefault="0061574E" w:rsidP="0061574E">
      <w:pPr>
        <w:jc w:val="both"/>
      </w:pPr>
      <w:r>
        <w:t>Art. 17 ust. 1 MAR - informacje poufne.</w:t>
      </w:r>
      <w:r>
        <w:tab/>
      </w:r>
    </w:p>
    <w:p w:rsidR="0061574E" w:rsidRDefault="0061574E" w:rsidP="0061574E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1574E" w:rsidRDefault="0061574E" w:rsidP="0061574E">
      <w:pPr>
        <w:jc w:val="both"/>
      </w:pPr>
    </w:p>
    <w:p w:rsidR="0061574E" w:rsidRDefault="0061574E" w:rsidP="0061574E">
      <w:pPr>
        <w:jc w:val="both"/>
      </w:pPr>
      <w:r>
        <w:t>Zarząd BIOMED-LUBLIN Wytwórnia Surowic i Szczepionek SA ("Emitent", ,,Spółka") informuje, że w dniu 23 marca 2017 r. został podpisany aneks do porozumienia z dnia 8 kwietnia 2016 r. w sprawie warunków spłaty zobowiązania z tytułu wypłaconej akredytywy wobec Banku Millennium S.A. z siedzibą w Warszawie przy ul. Stanisława Żaryna 2A (dalej: „Bank”).</w:t>
      </w:r>
    </w:p>
    <w:p w:rsidR="0061574E" w:rsidRDefault="0061574E" w:rsidP="0061574E">
      <w:pPr>
        <w:jc w:val="both"/>
      </w:pPr>
    </w:p>
    <w:p w:rsidR="0061574E" w:rsidRDefault="0061574E" w:rsidP="0061574E">
      <w:pPr>
        <w:jc w:val="both"/>
      </w:pPr>
      <w:r>
        <w:t>Na podstawie aneksu, do 31 marca 2017 roku nastąpi przewalutowanie niespłaconej kwoty akredytywy w wysokości 1.204.885,10 EUR na PLN po kursie wynegocjowanym pomiędzy Bankiem, a Spółką. Od dnia przewalutowania, o którym mowa wyżej, od całej niespłaconej kwoty akredytywy w wysokości 1.204.885,10 EUR po jej przewalutowaniu, Bank będzie naliczał odsetki według stopy procentowej stanowiącej sumę stawki referencyjnej WIBOR 3M powiększonej o marżę Banku.</w:t>
      </w:r>
    </w:p>
    <w:p w:rsidR="0061574E" w:rsidRDefault="0061574E" w:rsidP="0061574E">
      <w:pPr>
        <w:jc w:val="both"/>
      </w:pPr>
    </w:p>
    <w:p w:rsidR="0061574E" w:rsidRDefault="0061574E" w:rsidP="0061574E">
      <w:pPr>
        <w:jc w:val="both"/>
      </w:pPr>
      <w:r>
        <w:t>Ponadto, zmniejszeniu uległa rata przypadająca do spłaty w dniu 31 marca 2017 r. z 500.000 Euro do 250.000 Euro. Harmonogram spłaty pozostałego zadłużenia z tytułu akredytywy po podpisaniu aneksu przedstawia się następująco:</w:t>
      </w:r>
    </w:p>
    <w:p w:rsidR="0061574E" w:rsidRDefault="0061574E" w:rsidP="0061574E">
      <w:pPr>
        <w:pStyle w:val="Akapitzlist"/>
        <w:numPr>
          <w:ilvl w:val="0"/>
          <w:numId w:val="1"/>
        </w:numPr>
        <w:jc w:val="both"/>
      </w:pPr>
      <w:r>
        <w:tab/>
        <w:t>do dnia 31 marca 2017 r. kwota 250.000 Euro</w:t>
      </w:r>
    </w:p>
    <w:p w:rsidR="0061574E" w:rsidRDefault="0061574E" w:rsidP="0061574E">
      <w:pPr>
        <w:pStyle w:val="Akapitzlist"/>
        <w:numPr>
          <w:ilvl w:val="0"/>
          <w:numId w:val="1"/>
        </w:numPr>
        <w:jc w:val="both"/>
      </w:pPr>
      <w:r>
        <w:tab/>
        <w:t>do dnia 15 maja 2017 r. równowartość w PLN kwoty 250.000 Euro</w:t>
      </w:r>
    </w:p>
    <w:p w:rsidR="0061574E" w:rsidRDefault="0061574E" w:rsidP="0061574E">
      <w:pPr>
        <w:pStyle w:val="Akapitzlist"/>
        <w:numPr>
          <w:ilvl w:val="0"/>
          <w:numId w:val="1"/>
        </w:numPr>
        <w:jc w:val="both"/>
      </w:pPr>
      <w:r>
        <w:tab/>
        <w:t>do dnia 30 czerwca 2017 r. równowartość w PLN kwoty 954.885,10 Euro</w:t>
      </w:r>
    </w:p>
    <w:p w:rsidR="0061574E" w:rsidRDefault="0061574E" w:rsidP="0061574E">
      <w:pPr>
        <w:jc w:val="both"/>
      </w:pPr>
    </w:p>
    <w:p w:rsidR="0061574E" w:rsidRDefault="0061574E" w:rsidP="0061574E">
      <w:pPr>
        <w:jc w:val="both"/>
      </w:pPr>
      <w:r>
        <w:t>Podstawa prawna - art. 17 ust. 1 Rozporządzenia Parlamentu Europejskiego i Rady (UE) nr 596/2014 (MAR).</w:t>
      </w:r>
    </w:p>
    <w:p w:rsidR="0061574E" w:rsidRDefault="0061574E" w:rsidP="0061574E">
      <w:pPr>
        <w:jc w:val="both"/>
      </w:pPr>
    </w:p>
    <w:p w:rsidR="0061574E" w:rsidRDefault="0061574E" w:rsidP="0061574E">
      <w:pPr>
        <w:jc w:val="both"/>
      </w:pPr>
    </w:p>
    <w:p w:rsidR="0061574E" w:rsidRDefault="0061574E" w:rsidP="0061574E">
      <w:pPr>
        <w:jc w:val="both"/>
      </w:pPr>
      <w:r>
        <w:t>2017-03-23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61574E" w:rsidRDefault="0061574E" w:rsidP="0061574E">
      <w:pPr>
        <w:jc w:val="both"/>
      </w:pPr>
      <w:r>
        <w:t>2017-03-23</w:t>
      </w:r>
      <w:r>
        <w:tab/>
        <w:t>Adam Siwek</w:t>
      </w:r>
      <w:r>
        <w:tab/>
        <w:t>Członek zarządu</w:t>
      </w:r>
      <w:r>
        <w:tab/>
      </w:r>
      <w:r>
        <w:tab/>
      </w:r>
    </w:p>
    <w:sectPr w:rsidR="009A76AB" w:rsidRPr="006157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71231"/>
    <w:rsid w:val="000A642C"/>
    <w:rsid w:val="00106DC3"/>
    <w:rsid w:val="0011638B"/>
    <w:rsid w:val="0014358A"/>
    <w:rsid w:val="0015515C"/>
    <w:rsid w:val="00203C6C"/>
    <w:rsid w:val="00210D8C"/>
    <w:rsid w:val="00222958"/>
    <w:rsid w:val="002E5EF9"/>
    <w:rsid w:val="00325EC3"/>
    <w:rsid w:val="00334CF3"/>
    <w:rsid w:val="00345DB4"/>
    <w:rsid w:val="003525F2"/>
    <w:rsid w:val="003930E6"/>
    <w:rsid w:val="003F63CE"/>
    <w:rsid w:val="0043127D"/>
    <w:rsid w:val="00496133"/>
    <w:rsid w:val="004F77B6"/>
    <w:rsid w:val="005251C0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2523"/>
    <w:rsid w:val="006A4EBB"/>
    <w:rsid w:val="006B5638"/>
    <w:rsid w:val="006B6108"/>
    <w:rsid w:val="006B7B46"/>
    <w:rsid w:val="006C27AC"/>
    <w:rsid w:val="006D7B56"/>
    <w:rsid w:val="007275C0"/>
    <w:rsid w:val="007310BB"/>
    <w:rsid w:val="007D55F3"/>
    <w:rsid w:val="008072B4"/>
    <w:rsid w:val="008414BF"/>
    <w:rsid w:val="009137AB"/>
    <w:rsid w:val="00987588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E778D"/>
    <w:rsid w:val="00B203D8"/>
    <w:rsid w:val="00BC7344"/>
    <w:rsid w:val="00BE2A3B"/>
    <w:rsid w:val="00BF0672"/>
    <w:rsid w:val="00C159AB"/>
    <w:rsid w:val="00C21937"/>
    <w:rsid w:val="00C80057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DF2B8D"/>
    <w:rsid w:val="00E8218B"/>
    <w:rsid w:val="00EC6F93"/>
    <w:rsid w:val="00EF3DC2"/>
    <w:rsid w:val="00F151EB"/>
    <w:rsid w:val="00F3796A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A264A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2018-03-21T20:18:00Z</dcterms:created>
  <dcterms:modified xsi:type="dcterms:W3CDTF">2018-03-21T20:18:00Z</dcterms:modified>
</cp:coreProperties>
</file>