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6E27" w:rsidRDefault="00DC6E27" w:rsidP="00DC6E27">
      <w:pPr>
        <w:jc w:val="both"/>
      </w:pPr>
      <w:r>
        <w:t>Raport bieżący nr</w:t>
      </w:r>
      <w:r>
        <w:tab/>
        <w:t>4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DC6E27" w:rsidRDefault="00DC6E27" w:rsidP="00DC6E27">
      <w:pPr>
        <w:jc w:val="both"/>
      </w:pPr>
      <w:r>
        <w:t>Data sporządzenia:</w:t>
      </w:r>
      <w:r>
        <w:tab/>
        <w:t>2017-01-26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DC6E27" w:rsidRDefault="00DC6E27" w:rsidP="00DC6E27">
      <w:pPr>
        <w:jc w:val="both"/>
      </w:pPr>
      <w:r>
        <w:tab/>
      </w:r>
    </w:p>
    <w:p w:rsidR="00DC6E27" w:rsidRDefault="00DC6E27" w:rsidP="00DC6E27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C6E27" w:rsidRDefault="00DC6E27" w:rsidP="00DC6E27">
      <w:pPr>
        <w:jc w:val="both"/>
      </w:pPr>
      <w:r>
        <w:t>Terminy publikacji raportów okresowych Spółki w 2017 roku</w:t>
      </w:r>
      <w:r>
        <w:tab/>
      </w:r>
    </w:p>
    <w:p w:rsidR="00DC6E27" w:rsidRDefault="00DC6E27" w:rsidP="00DC6E27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C6E27" w:rsidRDefault="00DC6E27" w:rsidP="00DC6E27">
      <w:pPr>
        <w:jc w:val="both"/>
      </w:pPr>
      <w:r>
        <w:t>Art. 56 ust. 1 pkt 2 Ustawy o ofercie - informacje bieżące i okresowe</w:t>
      </w:r>
    </w:p>
    <w:p w:rsidR="00DC6E27" w:rsidRDefault="00DC6E27" w:rsidP="00DC6E27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C6E27" w:rsidRDefault="00DC6E27" w:rsidP="00DC6E27">
      <w:pPr>
        <w:jc w:val="both"/>
      </w:pPr>
      <w:r>
        <w:t>Zarząd "BIOMED-LUBLIN" Wytwórnia Surowic i Szczepionek S.A. (dalej: "Emitent", "Spółka") podaje do publicznej wiadomości daty przekazywania raportów okresowych w 2017 roku:</w:t>
      </w:r>
    </w:p>
    <w:p w:rsidR="00DC6E27" w:rsidRDefault="00DC6E27" w:rsidP="00DC6E27">
      <w:pPr>
        <w:jc w:val="both"/>
      </w:pPr>
    </w:p>
    <w:p w:rsidR="00DC6E27" w:rsidRDefault="00DC6E27" w:rsidP="00DC6E27">
      <w:pPr>
        <w:jc w:val="both"/>
      </w:pPr>
      <w:r>
        <w:t xml:space="preserve">raport roczny za okres roku obrotowego 2016 - 30 kwietnia 2017 r. </w:t>
      </w:r>
    </w:p>
    <w:p w:rsidR="00DC6E27" w:rsidRDefault="00DC6E27" w:rsidP="00DC6E27">
      <w:pPr>
        <w:jc w:val="both"/>
      </w:pPr>
      <w:r>
        <w:t>raport kwartalny za okres I kwartału 2017 r. - 15 maja 2017 r.</w:t>
      </w:r>
    </w:p>
    <w:p w:rsidR="00DC6E27" w:rsidRDefault="00DC6E27" w:rsidP="00DC6E27">
      <w:pPr>
        <w:jc w:val="both"/>
      </w:pPr>
      <w:r>
        <w:t xml:space="preserve">raport półroczny za okres I półrocza 2017 r. - 31 sierpnia 2017 r. </w:t>
      </w:r>
    </w:p>
    <w:p w:rsidR="00DC6E27" w:rsidRDefault="00DC6E27" w:rsidP="00DC6E27">
      <w:pPr>
        <w:jc w:val="both"/>
      </w:pPr>
      <w:r>
        <w:t>raport kwartalny za okres III kwartału 2017 r. - 14 listopada 2017 r.</w:t>
      </w:r>
    </w:p>
    <w:p w:rsidR="00DC6E27" w:rsidRDefault="00DC6E27" w:rsidP="00DC6E27">
      <w:pPr>
        <w:jc w:val="both"/>
      </w:pPr>
    </w:p>
    <w:p w:rsidR="00DC6E27" w:rsidRDefault="00DC6E27" w:rsidP="00DC6E27">
      <w:pPr>
        <w:jc w:val="both"/>
      </w:pPr>
      <w:r>
        <w:t>Zgodnie z § 101 ust. 2 Rozporządzenia Ministra Finansów z dnia 19 lutego 2009 roku w sprawie informacji bieżących i okresowych przekazywanych przez emitentów papierów wartościowych oraz warunków uznawania za równoważne informacji wymaganych przepisami prawa państwa niebędącego państwem członkowskim (Dz.U. 2014 nr 0 poz. 133) Spółka nie będzie publikowała raportu kwartalnego za IV kwartał 2016 r. oraz za II kwartał 2017 r.</w:t>
      </w:r>
    </w:p>
    <w:p w:rsidR="00DC6E27" w:rsidRDefault="00DC6E27" w:rsidP="00DC6E27">
      <w:pPr>
        <w:jc w:val="both"/>
      </w:pPr>
    </w:p>
    <w:p w:rsidR="00DC6E27" w:rsidRDefault="00DC6E27" w:rsidP="00DC6E27">
      <w:pPr>
        <w:jc w:val="both"/>
      </w:pPr>
      <w:r>
        <w:t>Podstawa prawna:</w:t>
      </w:r>
    </w:p>
    <w:p w:rsidR="00DC6E27" w:rsidRDefault="00DC6E27" w:rsidP="00DC6E27">
      <w:pPr>
        <w:jc w:val="both"/>
      </w:pPr>
      <w:r>
        <w:t>§ 103 ust. 1 Rozporządzenia Ministra Finansów z dnia 19 lutego 2009 roku w sprawie informacji bieżących i okresowych przekazywanych przez emitentów papierów wartościowych oraz warunków uznawania za równoważne informacji wymaganych przepisami prawa państwa niebędącego państwem członkowskim (Dz.U. 2014 nr 0 poz. 133)</w:t>
      </w:r>
    </w:p>
    <w:p w:rsidR="00DC6E27" w:rsidRDefault="00DC6E27" w:rsidP="00DC6E27">
      <w:pPr>
        <w:jc w:val="both"/>
        <w:rPr>
          <w:lang w:val="en-US"/>
        </w:rPr>
      </w:pPr>
    </w:p>
    <w:p w:rsidR="00DC6E27" w:rsidRDefault="00DC6E27" w:rsidP="00DC6E27">
      <w:pPr>
        <w:jc w:val="both"/>
      </w:pPr>
      <w:r>
        <w:t>2017-01-26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DC6E27" w:rsidRDefault="00DC6E27" w:rsidP="00DC6E27">
      <w:pPr>
        <w:jc w:val="both"/>
      </w:pPr>
      <w:r>
        <w:t>2017-01-26</w:t>
      </w:r>
      <w:r>
        <w:tab/>
        <w:t>Adam Siwek</w:t>
      </w:r>
      <w:r>
        <w:tab/>
        <w:t>Członek Zarządu</w:t>
      </w:r>
    </w:p>
    <w:sectPr w:rsidR="009A76AB" w:rsidRPr="00DC6E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A264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2018-03-21T20:26:00Z</dcterms:created>
  <dcterms:modified xsi:type="dcterms:W3CDTF">2018-03-21T20:26:00Z</dcterms:modified>
</cp:coreProperties>
</file>