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1FDF" w:rsidRDefault="000E1FDF" w:rsidP="000E1FDF">
      <w:pPr>
        <w:jc w:val="both"/>
      </w:pPr>
      <w:r>
        <w:tab/>
        <w:t>64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0E1FDF" w:rsidRDefault="000E1FDF" w:rsidP="000E1FDF">
      <w:pPr>
        <w:jc w:val="both"/>
      </w:pPr>
      <w:r>
        <w:t>Data sporządzenia:</w:t>
      </w:r>
      <w:r>
        <w:tab/>
        <w:t>2016-12-22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</w:p>
    <w:p w:rsidR="000E1FDF" w:rsidRDefault="000E1FDF" w:rsidP="000E1FDF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E1FDF" w:rsidRDefault="000E1FDF" w:rsidP="000E1FDF">
      <w:pPr>
        <w:jc w:val="both"/>
      </w:pPr>
      <w:r>
        <w:t>Zawarcie przez Emitenta aneksów do istotnych umów kredytowych</w:t>
      </w:r>
      <w:r>
        <w:tab/>
      </w:r>
    </w:p>
    <w:p w:rsidR="000E1FDF" w:rsidRDefault="000E1FDF" w:rsidP="000E1FDF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E1FDF" w:rsidRDefault="000E1FDF" w:rsidP="000E1FDF">
      <w:pPr>
        <w:jc w:val="both"/>
      </w:pPr>
      <w:r>
        <w:t>Art. 17 ust. 1 MAR - informacje poufne.</w:t>
      </w:r>
      <w:r>
        <w:tab/>
      </w:r>
    </w:p>
    <w:p w:rsidR="000E1FDF" w:rsidRDefault="000E1FDF" w:rsidP="000E1FDF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E1FDF" w:rsidRDefault="000E1FDF" w:rsidP="000E1FDF">
      <w:pPr>
        <w:jc w:val="both"/>
      </w:pPr>
      <w:r>
        <w:t>Zarząd BIOMED-LUBLIN Wytwórnia Surowic i Szczepionek SA ("Emitent", ,,Spółka") informuje, że w dniu 22 listopada 2016 r. zostały podpisane aneksy do 3 umów z Bankiem Millennium S.A. z siedzibą w Warszawie przy ul. Stanisława Żaryna 2A (dalej: „Bank”).</w:t>
      </w:r>
    </w:p>
    <w:p w:rsidR="000E1FDF" w:rsidRDefault="000E1FDF" w:rsidP="000E1FDF">
      <w:pPr>
        <w:jc w:val="both"/>
      </w:pPr>
    </w:p>
    <w:p w:rsidR="000E1FDF" w:rsidRDefault="000E1FDF" w:rsidP="000E1FDF">
      <w:pPr>
        <w:jc w:val="both"/>
      </w:pPr>
      <w:r>
        <w:t xml:space="preserve">Aneks do umowy faktoringowej z dnia 11 września 2014 r. przewiduje zwiększenie limitu wierzytelności z 4.500.000 PLN do 5.400.000 PLN. Oprocentowanie faktoringu oparte jest o stawkę WIBOR 1M dla wierzytelności w PLN i EURIBOR 1M dla wierzytelności w EUR powiększoną o marżę Banku. Zabezpieczenie roszczeń Banku wynikających z umowy stanowi hipoteka łączna na nieruchomościach wraz z cesją praw z polisy ubezpieczeniowej od ognia i innych zdarzeń losowych, weksel własny in blanco oraz oświadczenie o poddaniu się egzekucji w trybie art. 777 </w:t>
      </w:r>
      <w:proofErr w:type="spellStart"/>
      <w:r>
        <w:t>kpc</w:t>
      </w:r>
      <w:proofErr w:type="spellEnd"/>
      <w:r>
        <w:t>.</w:t>
      </w:r>
    </w:p>
    <w:p w:rsidR="000E1FDF" w:rsidRDefault="000E1FDF" w:rsidP="000E1FDF">
      <w:pPr>
        <w:jc w:val="both"/>
      </w:pPr>
    </w:p>
    <w:p w:rsidR="000E1FDF" w:rsidRDefault="000E1FDF" w:rsidP="000E1FDF">
      <w:pPr>
        <w:jc w:val="both"/>
      </w:pPr>
      <w:r>
        <w:t xml:space="preserve">Zgodnie z aneksem do umowy kredytu w rachunku bieżącym z dnia 11 września 2014 r., okres kredytowania został wydłużony do 22 czerwca 2017 r. Limit zadłużenia pozostał na poziomie 2.150.000 PLN. Oprocentowanie kredytu oparte jest o stawkę WIBOR 1M powiększoną o marżę Banku. Zabezpieczenie kredytu stanowi hipoteka łączna na nieruchomościach wraz z cesją praw z polisy ubezpieczeniowej od ognia i innych zdarzeń losowych, weksel własny in blanco oraz oświadczenie o poddaniu się egzekucji w trybie art. 777 </w:t>
      </w:r>
      <w:proofErr w:type="spellStart"/>
      <w:r>
        <w:t>kpc</w:t>
      </w:r>
      <w:proofErr w:type="spellEnd"/>
      <w:r>
        <w:t>.</w:t>
      </w:r>
    </w:p>
    <w:p w:rsidR="000E1FDF" w:rsidRDefault="000E1FDF" w:rsidP="000E1FDF">
      <w:pPr>
        <w:jc w:val="both"/>
      </w:pPr>
    </w:p>
    <w:p w:rsidR="000E1FDF" w:rsidRDefault="000E1FDF" w:rsidP="000E1FDF">
      <w:pPr>
        <w:jc w:val="both"/>
      </w:pPr>
      <w:r>
        <w:t>Na podstawie aneksu do porozumienia z dnia 8 kwietnia 2016 r. w sprawie warunków spłaty zobowiązania z tytułu wypłaconej akredytywy, rata przypadająca do spłaty w dniu 30 grudnia 2016 r. została zmniejszona z 500.000 Euro do 200.000 Euro. Z kolei rata przypadająca do spłaty w dniu 30 czerwca 2017 r. uległa zwiększeniu z 654.885,10 Euro do 954.885,10 Euro. Harmonogram spłaty pozostałego zadłużenia z tytułu akredytywy po podpisaniu aneksu przedstawia się następująco:</w:t>
      </w:r>
    </w:p>
    <w:p w:rsidR="000E1FDF" w:rsidRDefault="000E1FDF" w:rsidP="000E1FDF">
      <w:pPr>
        <w:jc w:val="both"/>
      </w:pPr>
      <w:r>
        <w:t>- do dnia 30 grudnia 2016 r. kwota 200.000 Euro</w:t>
      </w:r>
    </w:p>
    <w:p w:rsidR="000E1FDF" w:rsidRDefault="000E1FDF" w:rsidP="000E1FDF">
      <w:pPr>
        <w:jc w:val="both"/>
      </w:pPr>
      <w:r>
        <w:t>- do dnia 31 marca 2017 r. kwota 500.000 Euro</w:t>
      </w:r>
    </w:p>
    <w:p w:rsidR="000E1FDF" w:rsidRDefault="000E1FDF" w:rsidP="000E1FDF">
      <w:pPr>
        <w:jc w:val="both"/>
      </w:pPr>
      <w:r>
        <w:t>- do dnia 30 czerwca 2017 r. kwota 954.885,10 Euro</w:t>
      </w:r>
    </w:p>
    <w:p w:rsidR="000E1FDF" w:rsidRDefault="000E1FDF" w:rsidP="000E1FDF">
      <w:pPr>
        <w:jc w:val="both"/>
      </w:pPr>
    </w:p>
    <w:p w:rsidR="000E1FDF" w:rsidRDefault="000E1FDF" w:rsidP="000E1FDF">
      <w:pPr>
        <w:jc w:val="both"/>
      </w:pPr>
      <w:r>
        <w:t>W ocenie Zarządu podpisanie w/w aneksów jest zdarzeniem pozytywnym dla Spółki, ze względu na znaczną poprawę struktury przyszłych przepływów pieniężnych. Dodatkowo, podwyższenie limitów faktoringowych jest wyrazem lepszej oceny Spółki przez stronę finansującą.</w:t>
      </w:r>
    </w:p>
    <w:p w:rsidR="000E1FDF" w:rsidRDefault="000E1FDF" w:rsidP="000E1FDF">
      <w:pPr>
        <w:jc w:val="both"/>
      </w:pPr>
    </w:p>
    <w:p w:rsidR="000E1FDF" w:rsidRDefault="000E1FDF" w:rsidP="000E1FDF">
      <w:pPr>
        <w:jc w:val="both"/>
      </w:pPr>
      <w:r>
        <w:t>Podstawa prawna - art. 17 ust. 1 Rozporządzenia Parlamentu Europejskiego i Rady (UE) nr 596/2014 (MAR).</w:t>
      </w:r>
    </w:p>
    <w:p w:rsidR="000E1FDF" w:rsidRDefault="000E1FDF" w:rsidP="000E1FDF">
      <w:pPr>
        <w:jc w:val="both"/>
        <w:rPr>
          <w:lang w:val="en-US"/>
        </w:rPr>
      </w:pPr>
    </w:p>
    <w:p w:rsidR="000E1FDF" w:rsidRDefault="000E1FDF" w:rsidP="000E1FDF">
      <w:pPr>
        <w:jc w:val="both"/>
      </w:pPr>
      <w:r>
        <w:t>2016-12-22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0E1FDF" w:rsidRDefault="000E1FDF" w:rsidP="000E1FDF">
      <w:pPr>
        <w:jc w:val="both"/>
      </w:pPr>
      <w:r>
        <w:t>2016-12-22</w:t>
      </w:r>
      <w:r>
        <w:tab/>
        <w:t>Adam Siwek</w:t>
      </w:r>
      <w:r>
        <w:tab/>
        <w:t>Członek Zarządu</w:t>
      </w:r>
    </w:p>
    <w:sectPr w:rsidR="009A76AB" w:rsidRPr="000E1F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65F23"/>
    <w:rsid w:val="00071231"/>
    <w:rsid w:val="000A642C"/>
    <w:rsid w:val="000E1FDF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55593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9137AB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AFEA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2018-03-21T21:45:00Z</dcterms:created>
  <dcterms:modified xsi:type="dcterms:W3CDTF">2018-03-21T21:45:00Z</dcterms:modified>
</cp:coreProperties>
</file>