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34EE" w:rsidRDefault="000334EE" w:rsidP="000334EE">
      <w:pPr>
        <w:jc w:val="both"/>
      </w:pPr>
      <w:r>
        <w:tab/>
      </w:r>
      <w:r>
        <w:tab/>
        <w:t>Raport bieżący nr</w:t>
      </w:r>
      <w:r>
        <w:tab/>
        <w:t>57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0334EE" w:rsidRDefault="000334EE" w:rsidP="000334EE">
      <w:pPr>
        <w:jc w:val="both"/>
      </w:pPr>
      <w:r>
        <w:t>Data sporządzenia:</w:t>
      </w:r>
      <w:r>
        <w:tab/>
        <w:t>2016-10-08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334EE" w:rsidRDefault="000334EE" w:rsidP="000334EE">
      <w:pPr>
        <w:jc w:val="both"/>
      </w:pPr>
      <w:bookmarkStart w:id="0" w:name="_GoBack"/>
      <w:bookmarkEnd w:id="0"/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334EE" w:rsidRDefault="000334EE" w:rsidP="000334EE">
      <w:pPr>
        <w:jc w:val="both"/>
      </w:pPr>
      <w:r>
        <w:t>Zawarcie przez Emitenta aneksów do istotnych umów kredytowych</w:t>
      </w:r>
      <w:r>
        <w:tab/>
      </w:r>
    </w:p>
    <w:p w:rsidR="000334EE" w:rsidRDefault="000334EE" w:rsidP="000334EE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334EE" w:rsidRDefault="000334EE" w:rsidP="000334EE">
      <w:pPr>
        <w:jc w:val="both"/>
      </w:pPr>
      <w:r>
        <w:t>Art. 17 ust. 1 MAR - informacje poufne.</w:t>
      </w:r>
      <w:r>
        <w:tab/>
      </w:r>
    </w:p>
    <w:p w:rsidR="000334EE" w:rsidRDefault="000334EE" w:rsidP="000334EE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334EE" w:rsidRDefault="000334EE" w:rsidP="000334EE">
      <w:pPr>
        <w:jc w:val="both"/>
      </w:pPr>
      <w:r>
        <w:t>Zarząd BIOMED-LUBLIN Wytwórnia Surowic i Szczepionek SA ("Emitent", ,,Spółka") informuje, że w dniu 7 października 2016 r. zostały podpisane aneksy do 2 umów z Bankiem Millennium S.A. z siedzibą w Warszawie przy ul. Stanisława Żaryna 2A (dalej: „Bank”).</w:t>
      </w:r>
    </w:p>
    <w:p w:rsidR="000334EE" w:rsidRDefault="000334EE" w:rsidP="000334EE">
      <w:pPr>
        <w:jc w:val="both"/>
      </w:pPr>
    </w:p>
    <w:p w:rsidR="000334EE" w:rsidRDefault="000334EE" w:rsidP="000334EE">
      <w:pPr>
        <w:jc w:val="both"/>
      </w:pPr>
      <w:r>
        <w:t xml:space="preserve">Aneks do umowy faktoringowej z dnia 11 września 2014 r. przewiduje wydłużenie okresu obowiązywania umowy do 10 października 2017 r. Limit wierzytelności pozostał na poziomie 4.500.000 PLN. Oprocentowanie faktoringu oparte jest o stawkę WIBOR 1M dla wierzytelności w PLN i EURIBOR 1M dla wierzytelności w EUR powiększoną o marżę Banku. Zabezpieczenie roszczeń Banku wynikających z umowy stanowi oświadczenie o poddaniu się egzekucji w trybie art. 777 </w:t>
      </w:r>
      <w:proofErr w:type="spellStart"/>
      <w:r>
        <w:t>kpc</w:t>
      </w:r>
      <w:proofErr w:type="spellEnd"/>
      <w:r>
        <w:t>.</w:t>
      </w:r>
    </w:p>
    <w:p w:rsidR="000334EE" w:rsidRDefault="000334EE" w:rsidP="000334EE">
      <w:pPr>
        <w:jc w:val="both"/>
      </w:pPr>
    </w:p>
    <w:p w:rsidR="000334EE" w:rsidRDefault="000334EE" w:rsidP="000334EE">
      <w:pPr>
        <w:jc w:val="both"/>
      </w:pPr>
      <w:r>
        <w:t xml:space="preserve">Zgodnie z aneksem do umowy kredytu w rachunku bieżącym z dnia 11 września 2014 r., okres kredytowania został wydłużony do 22 grudnia 2016 r. Limit zadłużenia pozostał na poziomie 2.150.000 PLN. Oprocentowanie kredytu oparte jest o stawkę WIBOR 1M powiększoną o marżę Banku. Zabezpieczenie kredytu stanowi hipoteka łączna na nieruchomości wraz z cesją praw z polisy ubezpieczeniowej od ognia i innych zdarzeń losowych, weksel własny in blanco oraz oświadczenie o poddaniu się egzekucji w trybie art. 777 </w:t>
      </w:r>
      <w:proofErr w:type="spellStart"/>
      <w:r>
        <w:t>kpc</w:t>
      </w:r>
      <w:proofErr w:type="spellEnd"/>
      <w:r>
        <w:t>.</w:t>
      </w:r>
    </w:p>
    <w:p w:rsidR="000334EE" w:rsidRDefault="000334EE" w:rsidP="000334EE">
      <w:pPr>
        <w:jc w:val="both"/>
      </w:pPr>
    </w:p>
    <w:p w:rsidR="000334EE" w:rsidRDefault="000334EE" w:rsidP="000334EE">
      <w:pPr>
        <w:jc w:val="both"/>
      </w:pPr>
      <w:r>
        <w:t>Podstawa prawna - art. 17 ust. 1 Rozporządzenia Parlamentu Europejskiego i Rady (UE) nr 596/2014 (MAR).</w:t>
      </w:r>
    </w:p>
    <w:p w:rsidR="000334EE" w:rsidRDefault="000334EE" w:rsidP="000334EE">
      <w:pPr>
        <w:jc w:val="both"/>
        <w:rPr>
          <w:lang w:val="en-US"/>
        </w:rPr>
      </w:pPr>
    </w:p>
    <w:p w:rsidR="000334EE" w:rsidRDefault="000334EE" w:rsidP="000334EE">
      <w:pPr>
        <w:jc w:val="both"/>
      </w:pPr>
      <w:r>
        <w:t>2016-10-08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0334EE" w:rsidRDefault="000334EE" w:rsidP="000334EE">
      <w:pPr>
        <w:jc w:val="both"/>
      </w:pPr>
      <w:r>
        <w:t>2016-10-08</w:t>
      </w:r>
      <w:r>
        <w:tab/>
        <w:t>Grzegorz Zabiegły</w:t>
      </w:r>
      <w:r>
        <w:tab/>
        <w:t>Członek Zarządu</w:t>
      </w:r>
      <w:r>
        <w:tab/>
      </w:r>
      <w:r>
        <w:tab/>
      </w:r>
    </w:p>
    <w:sectPr w:rsidR="009A76AB" w:rsidRPr="00033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25EC3"/>
    <w:rsid w:val="00334CF3"/>
    <w:rsid w:val="00345DB4"/>
    <w:rsid w:val="003525F2"/>
    <w:rsid w:val="003930E6"/>
    <w:rsid w:val="003F63CE"/>
    <w:rsid w:val="0043127D"/>
    <w:rsid w:val="00455593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8B044B"/>
    <w:rsid w:val="00911628"/>
    <w:rsid w:val="009137AB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17FB1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CB28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2018-03-21T22:10:00Z</dcterms:created>
  <dcterms:modified xsi:type="dcterms:W3CDTF">2018-03-21T22:10:00Z</dcterms:modified>
</cp:coreProperties>
</file>