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4071" w:rsidRDefault="008F4071" w:rsidP="008F4071">
      <w:pPr>
        <w:jc w:val="both"/>
      </w:pPr>
      <w:bookmarkStart w:id="0" w:name="_GoBack"/>
      <w:bookmarkEnd w:id="0"/>
    </w:p>
    <w:p w:rsidR="008F4071" w:rsidRDefault="008F4071" w:rsidP="008F4071">
      <w:pPr>
        <w:jc w:val="both"/>
      </w:pPr>
      <w:r>
        <w:t>Raport bieżący nr</w:t>
      </w:r>
      <w:r>
        <w:tab/>
        <w:t>44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8F4071" w:rsidRDefault="008F4071" w:rsidP="008F4071">
      <w:pPr>
        <w:jc w:val="both"/>
      </w:pPr>
      <w:r>
        <w:t>Data sporządzenia:</w:t>
      </w:r>
      <w:r>
        <w:tab/>
        <w:t>2016-07-30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F4071" w:rsidRDefault="008F4071" w:rsidP="008F4071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F4071" w:rsidRDefault="008F4071" w:rsidP="008F4071">
      <w:pPr>
        <w:jc w:val="both"/>
      </w:pPr>
      <w:r>
        <w:t>Powołanie na funkcję Prezesa Zarządu</w:t>
      </w:r>
      <w:r>
        <w:tab/>
      </w:r>
    </w:p>
    <w:p w:rsidR="008F4071" w:rsidRDefault="008F4071" w:rsidP="008F4071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F4071" w:rsidRDefault="008F4071" w:rsidP="008F4071">
      <w:pPr>
        <w:jc w:val="both"/>
      </w:pPr>
      <w:r>
        <w:t>Art. 56 ust. 1 pkt 2 Ustawy o ofercie - informacje bieżące i okresowe</w:t>
      </w:r>
    </w:p>
    <w:p w:rsidR="008F4071" w:rsidRDefault="008F4071" w:rsidP="008F4071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F4071" w:rsidRDefault="008F4071" w:rsidP="008F4071">
      <w:pPr>
        <w:jc w:val="both"/>
      </w:pPr>
      <w:r>
        <w:t>Zarząd spółki "BIOMED-LUBLIN" Wytwórnia Surowic i Szczepionek S.A. (dalej: "Spółka", "Emitent") informuje, iż w dniu 29 lipca 2016 r. Rada Nadzorcza Spółki powołała Pana Andrzeja Stachnika na stanowisko Prezesa Zarządu Spółki od dnia 1 sierpnia 2016 roku.</w:t>
      </w:r>
    </w:p>
    <w:p w:rsidR="008F4071" w:rsidRDefault="008F4071" w:rsidP="008F4071">
      <w:pPr>
        <w:jc w:val="both"/>
      </w:pPr>
      <w:r>
        <w:t>Informacja o powołanym członku Zarządu:</w:t>
      </w:r>
    </w:p>
    <w:p w:rsidR="008F4071" w:rsidRDefault="008F4071" w:rsidP="008F4071">
      <w:pPr>
        <w:jc w:val="both"/>
      </w:pPr>
      <w:r>
        <w:t xml:space="preserve">Andrzej Stachnik (56 lat), - wykształcenie wyższe. Absolwent Uniwersytetu Przyrodniczego w Lublinie, Wydział Medycyny Weterynaryjnej, uczestnik programu MBA Wyższa Szkoła Handlu i Finansów Międzynarodowych w Warszawie im. Fryderyka Skarbka. W latach 1991- 2007 pracował w ACP Pharma na stanowisku Prezesa Zarządu Grupy Kapitałowej. Od 2007-2008 był zatrudniony na stanowisku Dyrektora d/s Rozwoju Międzynarodowego przez holenderską Grupę Kapitałową </w:t>
      </w:r>
      <w:proofErr w:type="spellStart"/>
      <w:r>
        <w:t>Mediq</w:t>
      </w:r>
      <w:proofErr w:type="spellEnd"/>
      <w:r>
        <w:t xml:space="preserve">. W latach 2009-2016 powołany na członka zarządu firmy farmaceutycznej </w:t>
      </w:r>
      <w:proofErr w:type="spellStart"/>
      <w:r>
        <w:t>SymPhar</w:t>
      </w:r>
      <w:proofErr w:type="spellEnd"/>
      <w:r>
        <w:t xml:space="preserve"> Sp. z o.o. pełnił funkcję Dyrektora Handlowego.</w:t>
      </w:r>
    </w:p>
    <w:p w:rsidR="008F4071" w:rsidRDefault="008F4071" w:rsidP="008F4071">
      <w:pPr>
        <w:jc w:val="both"/>
      </w:pPr>
    </w:p>
    <w:p w:rsidR="008F4071" w:rsidRDefault="008F4071" w:rsidP="008F4071">
      <w:pPr>
        <w:jc w:val="both"/>
      </w:pPr>
      <w:r>
        <w:t>Andrzej Stachnik oświadczył, że:</w:t>
      </w:r>
    </w:p>
    <w:p w:rsidR="008F4071" w:rsidRDefault="008F4071" w:rsidP="008F4071">
      <w:pPr>
        <w:jc w:val="both"/>
      </w:pPr>
      <w:r>
        <w:t xml:space="preserve">1) nie prowadzi działalności konkurencyjnej w stosunku do Emitenta , </w:t>
      </w:r>
    </w:p>
    <w:p w:rsidR="008F4071" w:rsidRDefault="008F4071" w:rsidP="008F4071">
      <w:pPr>
        <w:jc w:val="both"/>
      </w:pPr>
      <w:r>
        <w:t>2) nie jest wspólnikiem w konkurencyjnej w stosunku do Spółki spółce cywilnej lub osobowej, bądź członkiem organu spółki kapitałowej ani jakiejkolwiek innej konkurencyjnej osoby prawnej,</w:t>
      </w:r>
    </w:p>
    <w:p w:rsidR="008F4071" w:rsidRDefault="008F4071" w:rsidP="008F4071">
      <w:pPr>
        <w:jc w:val="both"/>
      </w:pPr>
      <w:r>
        <w:t>3) nie jest członkiem organu jakiejkolwiek innej konkurencyjnej wobec Emitenta osoby prawnej,</w:t>
      </w:r>
    </w:p>
    <w:p w:rsidR="008F4071" w:rsidRDefault="008F4071" w:rsidP="008F4071">
      <w:pPr>
        <w:jc w:val="both"/>
      </w:pPr>
      <w:r>
        <w:t>5) wedle swojej najlepszej wiedzy i rozeznania nie jest wpisany do Rejestru Dłużników Niewypłacalnych prowadzonego na podstawie ustawy o Krajowym Rejestrze Sądowym.</w:t>
      </w:r>
    </w:p>
    <w:p w:rsidR="008F4071" w:rsidRDefault="008F4071" w:rsidP="008F4071">
      <w:pPr>
        <w:jc w:val="both"/>
      </w:pPr>
    </w:p>
    <w:p w:rsidR="008F4071" w:rsidRDefault="008F4071" w:rsidP="008F4071">
      <w:pPr>
        <w:jc w:val="both"/>
      </w:pPr>
      <w:r>
        <w:t>Podstawa prawna szczegółowa;</w:t>
      </w:r>
    </w:p>
    <w:p w:rsidR="008F4071" w:rsidRDefault="008F4071" w:rsidP="008F4071">
      <w:pPr>
        <w:jc w:val="both"/>
      </w:pPr>
      <w:r>
        <w:t>§ 5 ust. 1 pkt 22 rozporządzenia Ministra Finansów z dnia 19 lutego 2009 r. w sprawie informacji bieżących i okresowych przekazywanych przez emitentów papierów wartościowych oraz warunków uznawania za równoważne informacji wymaganych przepisami prawa państwa niebędącego państwem członkowskim („Rozporządzenie”)</w:t>
      </w:r>
    </w:p>
    <w:p w:rsidR="008F4071" w:rsidRDefault="008F4071" w:rsidP="008F4071">
      <w:pPr>
        <w:jc w:val="both"/>
      </w:pPr>
      <w:r>
        <w:t>2016-07-30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9A76AB" w:rsidRPr="008F4071" w:rsidRDefault="008F4071" w:rsidP="008F4071">
      <w:pPr>
        <w:jc w:val="both"/>
      </w:pPr>
      <w:r>
        <w:t>2016-07-30</w:t>
      </w:r>
      <w:r>
        <w:tab/>
        <w:t>Agnieszka Biała</w:t>
      </w:r>
      <w:r>
        <w:tab/>
      </w:r>
      <w:r w:rsidR="00E56FBE">
        <w:t xml:space="preserve"> </w:t>
      </w:r>
      <w:r>
        <w:t xml:space="preserve">Członek Zarządu </w:t>
      </w:r>
    </w:p>
    <w:sectPr w:rsidR="009A76AB" w:rsidRPr="008F40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4CF3"/>
    <w:rsid w:val="00345DB4"/>
    <w:rsid w:val="003525F2"/>
    <w:rsid w:val="003930E6"/>
    <w:rsid w:val="003E4F15"/>
    <w:rsid w:val="003F63CE"/>
    <w:rsid w:val="0043127D"/>
    <w:rsid w:val="00455593"/>
    <w:rsid w:val="00496133"/>
    <w:rsid w:val="004F77B6"/>
    <w:rsid w:val="005016A1"/>
    <w:rsid w:val="005251C0"/>
    <w:rsid w:val="00541619"/>
    <w:rsid w:val="00550246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2C66"/>
    <w:rsid w:val="008072B4"/>
    <w:rsid w:val="008414BF"/>
    <w:rsid w:val="00852510"/>
    <w:rsid w:val="008B044B"/>
    <w:rsid w:val="008F4071"/>
    <w:rsid w:val="00911628"/>
    <w:rsid w:val="009137AB"/>
    <w:rsid w:val="00947F85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62240"/>
    <w:rsid w:val="00BA2940"/>
    <w:rsid w:val="00BB466B"/>
    <w:rsid w:val="00BC7344"/>
    <w:rsid w:val="00BE2A3B"/>
    <w:rsid w:val="00BF0672"/>
    <w:rsid w:val="00C10C1D"/>
    <w:rsid w:val="00C159AB"/>
    <w:rsid w:val="00C21937"/>
    <w:rsid w:val="00C6791A"/>
    <w:rsid w:val="00C80057"/>
    <w:rsid w:val="00C911BA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806E2"/>
    <w:rsid w:val="00D97A89"/>
    <w:rsid w:val="00DC6E27"/>
    <w:rsid w:val="00DF2B8D"/>
    <w:rsid w:val="00E17FB1"/>
    <w:rsid w:val="00E47F64"/>
    <w:rsid w:val="00E56FBE"/>
    <w:rsid w:val="00E8218B"/>
    <w:rsid w:val="00EC6F93"/>
    <w:rsid w:val="00EF3DC2"/>
    <w:rsid w:val="00F151EB"/>
    <w:rsid w:val="00F3796A"/>
    <w:rsid w:val="00F466E6"/>
    <w:rsid w:val="00F50F22"/>
    <w:rsid w:val="00F67CA7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D620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0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2018-03-22T16:44:00Z</dcterms:created>
  <dcterms:modified xsi:type="dcterms:W3CDTF">2018-03-22T16:44:00Z</dcterms:modified>
</cp:coreProperties>
</file>