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E5A" w:rsidRDefault="00DF7E5A" w:rsidP="00DF7E5A">
      <w:pPr>
        <w:jc w:val="both"/>
      </w:pPr>
      <w:bookmarkStart w:id="0" w:name="_GoBack"/>
      <w:bookmarkEnd w:id="0"/>
      <w:r>
        <w:t>Raport bieżący nr</w:t>
      </w:r>
      <w:r>
        <w:tab/>
        <w:t>41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DF7E5A" w:rsidRDefault="00DF7E5A" w:rsidP="00DF7E5A">
      <w:pPr>
        <w:jc w:val="both"/>
      </w:pPr>
      <w:r>
        <w:t>Data sporządzenia:</w:t>
      </w:r>
      <w:r>
        <w:tab/>
        <w:t>2016-07-11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7E5A" w:rsidRDefault="00DF7E5A" w:rsidP="00DF7E5A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7E5A" w:rsidRDefault="00DF7E5A" w:rsidP="00DF7E5A">
      <w:pPr>
        <w:jc w:val="both"/>
      </w:pPr>
      <w:r>
        <w:t>Zatwierdzenie przez Sąd układu przyjętego przez Zgromadzenie Wierzycieli</w:t>
      </w:r>
      <w:r>
        <w:tab/>
      </w:r>
    </w:p>
    <w:p w:rsidR="00DF7E5A" w:rsidRDefault="00DF7E5A" w:rsidP="00DF7E5A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7E5A" w:rsidRDefault="00DF7E5A" w:rsidP="00DF7E5A">
      <w:pPr>
        <w:jc w:val="both"/>
      </w:pPr>
      <w:r>
        <w:t>Art. 17 ust. 1 MAR - informacje poufne.</w:t>
      </w:r>
      <w:r>
        <w:tab/>
      </w:r>
    </w:p>
    <w:p w:rsidR="00DF7E5A" w:rsidRDefault="00DF7E5A" w:rsidP="00DF7E5A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7E5A" w:rsidRDefault="00DF7E5A" w:rsidP="00DF7E5A">
      <w:pPr>
        <w:jc w:val="both"/>
      </w:pPr>
      <w:r>
        <w:t>Zarząd spółki "BIOMED-LUBLIN" Wytwórnia Surowic i Szczepionek S.A. z siedzibą w Lublinie (dalej: "Spółka", "Emitent") informuje, że w dniu 11 lipca 2016 r. Sąd Rejonowy Lublin-Wschód w Lublinie z siedzibą w Świdniku na posiedzeniu jawnym wydał postanowienie w przedmiocie zatwierdzenia układu przyjętego przez Zgromadzenie Wierzycieli w dniu 10 czerwca 2016 r. w ramach postępowania restrukturyzacyjnego BIOMED – LUBLIN Wytwórnia Surowic i Szczepionek Spółka Akcyjna w Lublinie, o następującej treści:</w:t>
      </w:r>
    </w:p>
    <w:p w:rsidR="00DF7E5A" w:rsidRDefault="00DF7E5A" w:rsidP="00DF7E5A">
      <w:pPr>
        <w:jc w:val="both"/>
      </w:pPr>
    </w:p>
    <w:p w:rsidR="00DF7E5A" w:rsidRDefault="00DF7E5A" w:rsidP="00DF7E5A">
      <w:pPr>
        <w:jc w:val="both"/>
      </w:pPr>
      <w:r>
        <w:t>Grupa 1 – wierzyciele zabezpieczeni rzeczowo oraz wierzyciele, którzy nie wyrazili zgody na przystąpienie do układu</w:t>
      </w:r>
    </w:p>
    <w:p w:rsidR="00DF7E5A" w:rsidRDefault="00DF7E5A" w:rsidP="00DF7E5A">
      <w:pPr>
        <w:jc w:val="both"/>
      </w:pPr>
      <w:r>
        <w:t>Propozycja: zawarcie ugód / porozumień pozasądowych przy jednoczesnym kontynuowaniu umów bieżących.</w:t>
      </w:r>
    </w:p>
    <w:p w:rsidR="00DF7E5A" w:rsidRDefault="00DF7E5A" w:rsidP="00DF7E5A">
      <w:pPr>
        <w:jc w:val="both"/>
      </w:pPr>
    </w:p>
    <w:p w:rsidR="00DF7E5A" w:rsidRDefault="00DF7E5A" w:rsidP="00DF7E5A">
      <w:pPr>
        <w:jc w:val="both"/>
      </w:pPr>
      <w:r>
        <w:t xml:space="preserve">Grupa 2 – wierzyciele </w:t>
      </w:r>
      <w:proofErr w:type="spellStart"/>
      <w:r>
        <w:t>publiczno</w:t>
      </w:r>
      <w:proofErr w:type="spellEnd"/>
      <w:r>
        <w:t xml:space="preserve"> – prawni</w:t>
      </w:r>
    </w:p>
    <w:p w:rsidR="00DF7E5A" w:rsidRDefault="00DF7E5A" w:rsidP="00DF7E5A">
      <w:pPr>
        <w:jc w:val="both"/>
      </w:pPr>
      <w:r>
        <w:t>Propozycja: odroczenie terminu płatności wierzytelności głównej do 1 roku od daty uprawomocnienia się postanowienia o zatwierdzeniu układu z jednoczesną obsługą bieżącą odsetek, po tym czasie spłata jednorazowa wierzytelności.</w:t>
      </w:r>
    </w:p>
    <w:p w:rsidR="00DF7E5A" w:rsidRDefault="00DF7E5A" w:rsidP="00DF7E5A">
      <w:pPr>
        <w:jc w:val="both"/>
      </w:pPr>
    </w:p>
    <w:p w:rsidR="00DF7E5A" w:rsidRDefault="00DF7E5A" w:rsidP="00DF7E5A">
      <w:pPr>
        <w:jc w:val="both"/>
      </w:pPr>
      <w:r>
        <w:t>Grupa 3 – wierzyciele niezabezpieczeni z sumą wierzytelności do wysokości 50.000,00 złotych</w:t>
      </w:r>
    </w:p>
    <w:p w:rsidR="00DF7E5A" w:rsidRDefault="00DF7E5A" w:rsidP="00DF7E5A">
      <w:pPr>
        <w:jc w:val="both"/>
      </w:pPr>
      <w:r>
        <w:t>Propozycja: spłata jednorazowa 100% należności głównej z jednoczesną 100% redukcją odsetek, w okresie 0,5 roku od daty uprawomocnienia się postanowienia o zatwierdzeniu układu.</w:t>
      </w:r>
    </w:p>
    <w:p w:rsidR="00DF7E5A" w:rsidRDefault="00DF7E5A" w:rsidP="00DF7E5A">
      <w:pPr>
        <w:jc w:val="both"/>
      </w:pPr>
    </w:p>
    <w:p w:rsidR="00DF7E5A" w:rsidRDefault="00DF7E5A" w:rsidP="00DF7E5A">
      <w:pPr>
        <w:jc w:val="both"/>
      </w:pPr>
      <w:r>
        <w:t>Grupa 4 – wierzyciele niezabezpieczeni z sumą wierzytelności wyższą niż 50.000,00 złotych</w:t>
      </w:r>
    </w:p>
    <w:p w:rsidR="00DF7E5A" w:rsidRDefault="00DF7E5A" w:rsidP="00DF7E5A">
      <w:pPr>
        <w:jc w:val="both"/>
      </w:pPr>
      <w:r>
        <w:t>Propozycja:</w:t>
      </w:r>
    </w:p>
    <w:p w:rsidR="00DF7E5A" w:rsidRDefault="00DF7E5A" w:rsidP="00DF7E5A">
      <w:pPr>
        <w:jc w:val="both"/>
      </w:pPr>
      <w:r>
        <w:t>•</w:t>
      </w:r>
      <w:r>
        <w:tab/>
        <w:t>spłata 100% należności głównej w okresie 7 lat poczynając od marca 2017 roku w 13 równych półrocznych ratach z ostatnią 14 wyrównującą, płatnych na koniec miesiąca tj. marca i września każdego roku do całkowitej spłaty,</w:t>
      </w:r>
    </w:p>
    <w:p w:rsidR="00DF7E5A" w:rsidRDefault="00DF7E5A" w:rsidP="00DF7E5A">
      <w:pPr>
        <w:jc w:val="both"/>
      </w:pPr>
      <w:r>
        <w:lastRenderedPageBreak/>
        <w:t>•</w:t>
      </w:r>
      <w:r>
        <w:tab/>
        <w:t>odsetki od należności głównej za okres do dnia otwarcia postępowania restrukturyzacyjnego będą spłacone w okresie do 6 miesięcy od daty uprawomocnienia się postanowienia o zatwierdzeniu układu,</w:t>
      </w:r>
    </w:p>
    <w:p w:rsidR="00DF7E5A" w:rsidRDefault="00DF7E5A" w:rsidP="00DF7E5A">
      <w:pPr>
        <w:jc w:val="both"/>
      </w:pPr>
      <w:r>
        <w:t>•</w:t>
      </w:r>
      <w:r>
        <w:tab/>
        <w:t>za okres od dnia otwarcia postępowania restrukturyzacyjnego będą naliczane odsetki od należności głównej w wysokości 4% w stosunku rocznym, które będą spłacane w okresie spłaty należności głównej w terminach płatności poszczególnych rat należności głównej.</w:t>
      </w:r>
    </w:p>
    <w:p w:rsidR="00DF7E5A" w:rsidRDefault="00DF7E5A" w:rsidP="00DF7E5A">
      <w:pPr>
        <w:jc w:val="both"/>
      </w:pPr>
    </w:p>
    <w:p w:rsidR="00DF7E5A" w:rsidRDefault="00DF7E5A" w:rsidP="00DF7E5A">
      <w:pPr>
        <w:jc w:val="both"/>
      </w:pPr>
      <w:r>
        <w:t>Grupa 5 obligatariusze</w:t>
      </w:r>
    </w:p>
    <w:p w:rsidR="00DF7E5A" w:rsidRDefault="00DF7E5A" w:rsidP="00DF7E5A">
      <w:pPr>
        <w:jc w:val="both"/>
      </w:pPr>
      <w:r>
        <w:t>Propozycja:</w:t>
      </w:r>
    </w:p>
    <w:p w:rsidR="00DF7E5A" w:rsidRDefault="00DF7E5A" w:rsidP="00DF7E5A">
      <w:pPr>
        <w:jc w:val="both"/>
      </w:pPr>
      <w:r>
        <w:t>•</w:t>
      </w:r>
      <w:r>
        <w:tab/>
        <w:t>odsetki zaległe będą zapłacone do 14 dni po zatwierdzeniu układu,</w:t>
      </w:r>
    </w:p>
    <w:p w:rsidR="00DF7E5A" w:rsidRDefault="00DF7E5A" w:rsidP="00DF7E5A">
      <w:pPr>
        <w:jc w:val="both"/>
      </w:pPr>
      <w:r>
        <w:t>•</w:t>
      </w:r>
      <w:r>
        <w:tab/>
        <w:t>odsetki bieżące będą spłacone w okresach 6 miesięcznych liczonych od daty emisji obligacji tj. liczone według oryginalnego planu spłat (oprocentowanie nie ulega zmianie),</w:t>
      </w:r>
    </w:p>
    <w:p w:rsidR="00DF7E5A" w:rsidRDefault="00DF7E5A" w:rsidP="00DF7E5A">
      <w:pPr>
        <w:jc w:val="both"/>
      </w:pPr>
      <w:r>
        <w:t>•</w:t>
      </w:r>
      <w:r>
        <w:tab/>
        <w:t>kapitał będzie spłacany w następujący sposób:</w:t>
      </w:r>
    </w:p>
    <w:p w:rsidR="00DF7E5A" w:rsidRDefault="00DF7E5A" w:rsidP="00DF7E5A">
      <w:pPr>
        <w:jc w:val="both"/>
      </w:pPr>
      <w:r>
        <w:t>a.</w:t>
      </w:r>
      <w:r>
        <w:tab/>
        <w:t>5% kapitału do 3 miesięcy od daty zatwierdzenia układu,</w:t>
      </w:r>
    </w:p>
    <w:p w:rsidR="00DF7E5A" w:rsidRDefault="00DF7E5A" w:rsidP="00DF7E5A">
      <w:pPr>
        <w:jc w:val="both"/>
      </w:pPr>
      <w:r>
        <w:t>b.</w:t>
      </w:r>
      <w:r>
        <w:tab/>
        <w:t>5% kapitału do 6 miesięcy od daty zatwierdzenia układu,</w:t>
      </w:r>
    </w:p>
    <w:p w:rsidR="00DF7E5A" w:rsidRDefault="00DF7E5A" w:rsidP="00DF7E5A">
      <w:pPr>
        <w:jc w:val="both"/>
      </w:pPr>
      <w:r>
        <w:t>c.</w:t>
      </w:r>
      <w:r>
        <w:tab/>
        <w:t>5% kapitału do 9 miesięcy od daty zatwierdzenia układu,</w:t>
      </w:r>
    </w:p>
    <w:p w:rsidR="00DF7E5A" w:rsidRDefault="00DF7E5A" w:rsidP="00DF7E5A">
      <w:pPr>
        <w:jc w:val="both"/>
      </w:pPr>
      <w:r>
        <w:t>d.</w:t>
      </w:r>
      <w:r>
        <w:tab/>
        <w:t>5% kapitału do 12 miesięcy od daty zatwierdzenia układu,</w:t>
      </w:r>
    </w:p>
    <w:p w:rsidR="00DF7E5A" w:rsidRDefault="00DF7E5A" w:rsidP="00DF7E5A">
      <w:pPr>
        <w:jc w:val="both"/>
      </w:pPr>
      <w:r>
        <w:t>e.</w:t>
      </w:r>
      <w:r>
        <w:tab/>
        <w:t>10% kapitału do 24 miesięcy od daty zatwierdzenia układu,</w:t>
      </w:r>
    </w:p>
    <w:p w:rsidR="00DF7E5A" w:rsidRDefault="00DF7E5A" w:rsidP="00DF7E5A">
      <w:pPr>
        <w:jc w:val="both"/>
      </w:pPr>
      <w:r>
        <w:t>f.</w:t>
      </w:r>
      <w:r>
        <w:tab/>
        <w:t xml:space="preserve">pozostała część kapitału w terminie 36 miesięcy od zatwierdzenia układu.” </w:t>
      </w:r>
    </w:p>
    <w:p w:rsidR="00DF7E5A" w:rsidRDefault="00DF7E5A" w:rsidP="00DF7E5A">
      <w:pPr>
        <w:jc w:val="both"/>
      </w:pPr>
    </w:p>
    <w:p w:rsidR="00DF7E5A" w:rsidRDefault="00DF7E5A" w:rsidP="00DF7E5A">
      <w:pPr>
        <w:jc w:val="both"/>
      </w:pPr>
      <w:r>
        <w:t>Postanowienie Sądu nie jest prawomocne. Emitent poinformuje o uprawomocnieniu się postanowienia, warunkującego rozpoczęcie realizacji układu stosownie do przyjętych i zatwierdzonych propozycji układowych.</w:t>
      </w:r>
    </w:p>
    <w:p w:rsidR="00DF7E5A" w:rsidRDefault="00DF7E5A" w:rsidP="00DF7E5A">
      <w:pPr>
        <w:jc w:val="both"/>
        <w:rPr>
          <w:lang w:val="en-US"/>
        </w:rPr>
      </w:pPr>
    </w:p>
    <w:p w:rsidR="00DF7E5A" w:rsidRDefault="00DF7E5A" w:rsidP="00DF7E5A">
      <w:pPr>
        <w:jc w:val="both"/>
      </w:pPr>
      <w:r>
        <w:t>2016-07-11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9A76AB" w:rsidRPr="00DF7E5A" w:rsidRDefault="00DF7E5A" w:rsidP="00DF7E5A">
      <w:pPr>
        <w:jc w:val="both"/>
      </w:pPr>
      <w:r>
        <w:t>2016-07-11</w:t>
      </w:r>
      <w:r>
        <w:tab/>
        <w:t>Agnieszka Biała</w:t>
      </w:r>
      <w:r>
        <w:tab/>
        <w:t>Członek Zarządu</w:t>
      </w:r>
      <w:r w:rsidR="00B973FC" w:rsidRPr="00DF7E5A">
        <w:t xml:space="preserve"> </w:t>
      </w:r>
    </w:p>
    <w:sectPr w:rsidR="009A76AB" w:rsidRPr="00DF7E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2C66"/>
    <w:rsid w:val="008072B4"/>
    <w:rsid w:val="00830D29"/>
    <w:rsid w:val="008414BF"/>
    <w:rsid w:val="00852510"/>
    <w:rsid w:val="008B044B"/>
    <w:rsid w:val="008F4071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973FC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7A89"/>
    <w:rsid w:val="00DC6E27"/>
    <w:rsid w:val="00DF2B8D"/>
    <w:rsid w:val="00DF7E5A"/>
    <w:rsid w:val="00E17FB1"/>
    <w:rsid w:val="00E47F64"/>
    <w:rsid w:val="00E56FBE"/>
    <w:rsid w:val="00E8218B"/>
    <w:rsid w:val="00EC6F93"/>
    <w:rsid w:val="00EF3DC2"/>
    <w:rsid w:val="00F151EB"/>
    <w:rsid w:val="00F3796A"/>
    <w:rsid w:val="00F466E6"/>
    <w:rsid w:val="00F50F22"/>
    <w:rsid w:val="00F67CA7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2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2018-03-22T16:48:00Z</dcterms:created>
  <dcterms:modified xsi:type="dcterms:W3CDTF">2018-03-22T16:48:00Z</dcterms:modified>
</cp:coreProperties>
</file>