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A13" w:rsidRDefault="00F64A13" w:rsidP="00F64A13">
      <w:pPr>
        <w:jc w:val="both"/>
      </w:pPr>
      <w:r>
        <w:tab/>
      </w:r>
      <w:r>
        <w:tab/>
        <w:t>Raport bieżący nr</w:t>
      </w:r>
      <w:r>
        <w:tab/>
        <w:t>15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F64A13" w:rsidRDefault="00F64A13" w:rsidP="00F64A13">
      <w:pPr>
        <w:jc w:val="both"/>
      </w:pPr>
      <w:r>
        <w:t>Data sporządzenia:</w:t>
      </w:r>
      <w:r>
        <w:tab/>
        <w:t>2016-03-15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</w:p>
    <w:p w:rsidR="00F64A13" w:rsidRDefault="00F64A13" w:rsidP="00F64A13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64A13" w:rsidRDefault="00F64A13" w:rsidP="00F64A13">
      <w:pPr>
        <w:jc w:val="both"/>
      </w:pPr>
      <w:r>
        <w:t>Wypłata z akredytywy</w:t>
      </w:r>
      <w:r>
        <w:tab/>
      </w:r>
    </w:p>
    <w:p w:rsidR="00F64A13" w:rsidRDefault="00F64A13" w:rsidP="00F64A13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64A13" w:rsidRDefault="00F64A13" w:rsidP="00F64A13">
      <w:pPr>
        <w:jc w:val="both"/>
      </w:pPr>
      <w:r>
        <w:t>Art. 56 ust. 1 pkt 1 Ustawy o ofercie - informacje poufne</w:t>
      </w:r>
    </w:p>
    <w:p w:rsidR="00F64A13" w:rsidRDefault="00F64A13" w:rsidP="00F64A13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64A13" w:rsidRDefault="00F64A13" w:rsidP="00F64A13">
      <w:pPr>
        <w:jc w:val="both"/>
      </w:pPr>
    </w:p>
    <w:p w:rsidR="00F64A13" w:rsidRDefault="00F64A13" w:rsidP="00F64A13">
      <w:pPr>
        <w:jc w:val="both"/>
      </w:pPr>
      <w:r>
        <w:t xml:space="preserve">Zarząd Spółki "BIOMED-LUBLIN" Wytwórnia Surowic i Szczepionek S.A. w restrukturyzacji (dalej: "Spółka" lub "Emitent") informuje, że w poniedziałek 14 marca 2016 r. uregulowano część zadłużenia Spółki wobec LFB </w:t>
      </w:r>
      <w:proofErr w:type="spellStart"/>
      <w:r>
        <w:t>Biomedicaments</w:t>
      </w:r>
      <w:proofErr w:type="spellEnd"/>
      <w:r>
        <w:t xml:space="preserve"> (dalej: LFB). Działanie to jest elementem realizowanego przez Spółkę planu restrukturyzacji, który w odniesieniu do LFB obejmuje w szczególności:</w:t>
      </w:r>
    </w:p>
    <w:p w:rsidR="00F64A13" w:rsidRDefault="00F64A13" w:rsidP="00F64A13">
      <w:pPr>
        <w:jc w:val="both"/>
      </w:pPr>
    </w:p>
    <w:p w:rsidR="00F64A13" w:rsidRDefault="00F64A13" w:rsidP="00F64A13">
      <w:pPr>
        <w:jc w:val="both"/>
      </w:pPr>
      <w:r>
        <w:t>•</w:t>
      </w:r>
      <w:r>
        <w:tab/>
        <w:t>Przekazanie 14 marca 2016 r. przez Bank Millennium S.A. pełnej kwoty w wysokości 2.154.885,10 Euro na rzecz LFB w wyniku realizacji akredytywy zabezpieczającej płatność za usługowe frakcjonowanie osocza przez LFB</w:t>
      </w:r>
    </w:p>
    <w:p w:rsidR="00F64A13" w:rsidRDefault="00F64A13" w:rsidP="00F64A13">
      <w:pPr>
        <w:jc w:val="both"/>
      </w:pPr>
      <w:r>
        <w:t>•</w:t>
      </w:r>
      <w:r>
        <w:tab/>
        <w:t>Uzgodnienie pomiędzy Emitentem i Bankiem Millennium S.A., że do dnia 10 kwietnia 2016 r. obie strony podpiszą porozumienie, zawierające harmonogram spłaty do banku kwoty 2.154.885,10 Euro, w związku z nie podstawieniem tych środków przez Emitenta.</w:t>
      </w:r>
    </w:p>
    <w:p w:rsidR="00F64A13" w:rsidRDefault="00F64A13" w:rsidP="00F64A13">
      <w:pPr>
        <w:jc w:val="both"/>
      </w:pPr>
    </w:p>
    <w:p w:rsidR="00F64A13" w:rsidRDefault="00F64A13" w:rsidP="00F64A13">
      <w:pPr>
        <w:jc w:val="both"/>
      </w:pPr>
      <w:r>
        <w:t xml:space="preserve">Wskazane działania są elementem planu restrukturyzacji, który 11 marca 2016 r. został przekazany do Sądu Rejonowego Lublin-Wschód w Lublinie z siedzibą w Świdniku przez Nadzorcę Sądowego prowadzącego postępowanie restrukturyzacyjne wobec Emitenta. </w:t>
      </w:r>
    </w:p>
    <w:p w:rsidR="00F64A13" w:rsidRDefault="00F64A13" w:rsidP="00F64A13">
      <w:pPr>
        <w:jc w:val="both"/>
      </w:pPr>
    </w:p>
    <w:p w:rsidR="00F64A13" w:rsidRDefault="00F64A13" w:rsidP="00F64A13">
      <w:pPr>
        <w:jc w:val="both"/>
      </w:pPr>
      <w:r>
        <w:t xml:space="preserve">Przed uregulowaniem powyższego zobowiązania dług Emitenta zabezpieczony akredytywą wobec LFB z tytułu usługowego frakcjonowania osocza wynosił 2.154.885,10 Euro. Akredytywa wystawiona przez Banku Millennium S.A. opiewała na kwotę w tej samej wysokości, co powodowało konieczność dwukrotnego wykazania kwoty 2.154.885,10 Euro w spisie wierzytelności (w stosunku do LFB i warunkowo wobec Bank Millennium SA). Obecna decyzja oznacza wykorzystanie zabezpieczenia i obowiązek spłaty należności wyłącznie wobec Banku Millennium S.A., a tym samym pomniejszenie sumy wierzytelności o wskazaną kwotę. </w:t>
      </w:r>
    </w:p>
    <w:p w:rsidR="00F64A13" w:rsidRDefault="00F64A13" w:rsidP="00F64A13">
      <w:pPr>
        <w:jc w:val="both"/>
      </w:pPr>
    </w:p>
    <w:p w:rsidR="00F64A13" w:rsidRDefault="00F64A13" w:rsidP="00F64A13">
      <w:pPr>
        <w:jc w:val="both"/>
      </w:pPr>
    </w:p>
    <w:p w:rsidR="00F64A13" w:rsidRDefault="00F64A13" w:rsidP="00F64A13">
      <w:pPr>
        <w:jc w:val="both"/>
      </w:pPr>
    </w:p>
    <w:p w:rsidR="00F64A13" w:rsidRDefault="00F64A13" w:rsidP="00F64A13">
      <w:pPr>
        <w:jc w:val="both"/>
      </w:pPr>
      <w:r>
        <w:t>2016-03-15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8E26C8" w:rsidRPr="00F64A13" w:rsidRDefault="00F64A13" w:rsidP="00F64A13">
      <w:pPr>
        <w:jc w:val="both"/>
      </w:pPr>
      <w:r>
        <w:t>2016-03-15</w:t>
      </w:r>
      <w:r>
        <w:tab/>
        <w:t>Marcus Preston</w:t>
      </w:r>
      <w:r>
        <w:tab/>
        <w:t>Członek Zarządu ds. restrukturyzacji</w:t>
      </w:r>
    </w:p>
    <w:sectPr w:rsidR="008E26C8" w:rsidRPr="00F64A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722B4"/>
    <w:rsid w:val="000A5EDF"/>
    <w:rsid w:val="000D5C64"/>
    <w:rsid w:val="00161A55"/>
    <w:rsid w:val="00225517"/>
    <w:rsid w:val="002323FB"/>
    <w:rsid w:val="00414893"/>
    <w:rsid w:val="00415C6E"/>
    <w:rsid w:val="00471085"/>
    <w:rsid w:val="00487A91"/>
    <w:rsid w:val="004963FF"/>
    <w:rsid w:val="0054025E"/>
    <w:rsid w:val="0063249F"/>
    <w:rsid w:val="00640DC2"/>
    <w:rsid w:val="006A420A"/>
    <w:rsid w:val="006A545E"/>
    <w:rsid w:val="006E7370"/>
    <w:rsid w:val="007E77B9"/>
    <w:rsid w:val="008E26C8"/>
    <w:rsid w:val="00A5324A"/>
    <w:rsid w:val="00A96B75"/>
    <w:rsid w:val="00B879B2"/>
    <w:rsid w:val="00C756CC"/>
    <w:rsid w:val="00CD0D88"/>
    <w:rsid w:val="00D030A5"/>
    <w:rsid w:val="00D16DEF"/>
    <w:rsid w:val="00DB2636"/>
    <w:rsid w:val="00DD2A15"/>
    <w:rsid w:val="00DD3E32"/>
    <w:rsid w:val="00DF78E1"/>
    <w:rsid w:val="00E0213E"/>
    <w:rsid w:val="00E35751"/>
    <w:rsid w:val="00E61DF9"/>
    <w:rsid w:val="00F64A13"/>
    <w:rsid w:val="00FD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D4755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4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9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5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3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2018-03-22T17:49:00Z</dcterms:created>
  <dcterms:modified xsi:type="dcterms:W3CDTF">2018-03-22T17:49:00Z</dcterms:modified>
</cp:coreProperties>
</file>